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Barlow" w:cs="Barlow" w:eastAsia="Barlow" w:hAnsi="Barlow"/>
        </w:rPr>
      </w:pPr>
      <w:r w:rsidDel="00000000" w:rsidR="00000000" w:rsidRPr="00000000">
        <w:rPr>
          <w:rtl w:val="0"/>
        </w:rPr>
      </w:r>
    </w:p>
    <w:p w:rsidR="00000000" w:rsidDel="00000000" w:rsidP="00000000" w:rsidRDefault="00000000" w:rsidRPr="00000000" w14:paraId="00000002">
      <w:pPr>
        <w:pageBreakBefore w:val="0"/>
        <w:rPr>
          <w:rFonts w:ascii="Barlow" w:cs="Barlow" w:eastAsia="Barlow" w:hAnsi="Barlow"/>
        </w:rPr>
      </w:pPr>
      <w:r w:rsidDel="00000000" w:rsidR="00000000" w:rsidRPr="00000000">
        <w:rPr>
          <w:rtl w:val="0"/>
        </w:rPr>
      </w:r>
    </w:p>
    <w:p w:rsidR="00000000" w:rsidDel="00000000" w:rsidP="00000000" w:rsidRDefault="00000000" w:rsidRPr="00000000" w14:paraId="00000003">
      <w:pPr>
        <w:pStyle w:val="Title"/>
        <w:pageBreakBefore w:val="0"/>
        <w:jc w:val="both"/>
        <w:rPr>
          <w:rFonts w:ascii="Barlow" w:cs="Barlow" w:eastAsia="Barlow" w:hAnsi="Barlow"/>
        </w:rPr>
      </w:pPr>
      <w:bookmarkStart w:colFirst="0" w:colLast="0" w:name="_xfujcmmehwz0" w:id="0"/>
      <w:bookmarkEnd w:id="0"/>
      <w:r w:rsidDel="00000000" w:rsidR="00000000" w:rsidRPr="00000000">
        <w:rPr/>
        <w:drawing>
          <wp:inline distB="19050" distT="19050" distL="19050" distR="19050">
            <wp:extent cx="3662363" cy="1825682"/>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662363" cy="182568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pageBreakBefore w:val="0"/>
        <w:rPr/>
      </w:pPr>
      <w:bookmarkStart w:colFirst="0" w:colLast="0" w:name="_a8e8lv4g1eo0" w:id="1"/>
      <w:bookmarkEnd w:id="1"/>
      <w:r w:rsidDel="00000000" w:rsidR="00000000" w:rsidRPr="00000000">
        <w:rPr>
          <w:rtl w:val="0"/>
        </w:rPr>
        <w:t xml:space="preserve">Manuel d’utilisation pour IASO &amp;  description des données RDC </w:t>
      </w:r>
      <w:r w:rsidDel="00000000" w:rsidR="00000000" w:rsidRPr="00000000">
        <w:rPr>
          <w:rtl w:val="0"/>
        </w:rPr>
      </w:r>
    </w:p>
    <w:p w:rsidR="00000000" w:rsidDel="00000000" w:rsidP="00000000" w:rsidRDefault="00000000" w:rsidRPr="00000000" w14:paraId="00000005">
      <w:pPr>
        <w:pStyle w:val="Subtitle"/>
        <w:pageBreakBefore w:val="0"/>
        <w:rPr>
          <w:rFonts w:ascii="Barlow" w:cs="Barlow" w:eastAsia="Barlow" w:hAnsi="Barlow"/>
        </w:rPr>
      </w:pPr>
      <w:bookmarkStart w:colFirst="0" w:colLast="0" w:name="_gihgqd9bsq2j" w:id="2"/>
      <w:bookmarkEnd w:id="2"/>
      <w:r w:rsidDel="00000000" w:rsidR="00000000" w:rsidRPr="00000000">
        <w:rPr>
          <w:rFonts w:ascii="Barlow" w:cs="Barlow" w:eastAsia="Barlow" w:hAnsi="Barlow"/>
          <w:rtl w:val="0"/>
        </w:rPr>
        <w:t xml:space="preserve">Janvier 2020</w:t>
      </w:r>
    </w:p>
    <w:p w:rsidR="00000000" w:rsidDel="00000000" w:rsidP="00000000" w:rsidRDefault="00000000" w:rsidRPr="00000000" w14:paraId="00000006">
      <w:pPr>
        <w:pageBreakBefore w:val="0"/>
        <w:rPr>
          <w:rFonts w:ascii="Barlow" w:cs="Barlow" w:eastAsia="Barlow" w:hAnsi="Barlow"/>
        </w:rPr>
      </w:pPr>
      <w:r w:rsidDel="00000000" w:rsidR="00000000" w:rsidRPr="00000000">
        <w:rPr>
          <w:rtl w:val="0"/>
        </w:rPr>
      </w:r>
    </w:p>
    <w:p w:rsidR="00000000" w:rsidDel="00000000" w:rsidP="00000000" w:rsidRDefault="00000000" w:rsidRPr="00000000" w14:paraId="00000007">
      <w:pPr>
        <w:pageBreakBefore w:val="0"/>
        <w:jc w:val="both"/>
        <w:rPr/>
      </w:pPr>
      <w:r w:rsidDel="00000000" w:rsidR="00000000" w:rsidRPr="00000000">
        <w:rPr>
          <w:rtl w:val="0"/>
        </w:rPr>
      </w:r>
    </w:p>
    <w:p w:rsidR="00000000" w:rsidDel="00000000" w:rsidP="00000000" w:rsidRDefault="00000000" w:rsidRPr="00000000" w14:paraId="00000008">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pageBreakBefore w:val="0"/>
            <w:tabs>
              <w:tab w:val="right" w:leader="none" w:pos="9360"/>
            </w:tabs>
            <w:spacing w:before="80" w:line="240" w:lineRule="auto"/>
            <w:ind w:left="0" w:firstLine="0"/>
            <w:rPr>
              <w:rFonts w:ascii="Barlow" w:cs="Barlow" w:eastAsia="Barlow" w:hAnsi="Barlow"/>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emvut19fwla">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Se connecter à la plateforme</w:t>
            </w:r>
          </w:hyperlin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_yemvut19fwla \h </w:instrText>
            <w:fldChar w:fldCharType="separate"/>
          </w:r>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9360"/>
            </w:tabs>
            <w:spacing w:before="200" w:line="240" w:lineRule="auto"/>
            <w:ind w:left="0" w:firstLine="0"/>
            <w:rPr>
              <w:rFonts w:ascii="Barlow" w:cs="Barlow" w:eastAsia="Barlow" w:hAnsi="Barlow"/>
              <w:b w:val="1"/>
              <w:i w:val="0"/>
              <w:smallCaps w:val="0"/>
              <w:strike w:val="0"/>
              <w:color w:val="000000"/>
              <w:sz w:val="24"/>
              <w:szCs w:val="24"/>
              <w:u w:val="none"/>
              <w:shd w:fill="auto" w:val="clear"/>
              <w:vertAlign w:val="baseline"/>
            </w:rPr>
          </w:pPr>
          <w:hyperlink w:anchor="_629msww4hti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Gérer les unités d’organisation</w:t>
            </w:r>
          </w:hyperlin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_629msww4htik \h </w:instrText>
            <w:fldChar w:fldCharType="separate"/>
          </w:r>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360"/>
            </w:tabs>
            <w:spacing w:before="200" w:line="240" w:lineRule="auto"/>
            <w:ind w:left="0" w:firstLine="0"/>
            <w:rPr/>
          </w:pPr>
          <w:hyperlink w:anchor="_8zaxk2pt4ycg">
            <w:r w:rsidDel="00000000" w:rsidR="00000000" w:rsidRPr="00000000">
              <w:rPr>
                <w:b w:val="1"/>
                <w:rtl w:val="0"/>
              </w:rPr>
              <w:t xml:space="preserve">Description des données actuellement présentes</w:t>
            </w:r>
          </w:hyperlink>
          <w:r w:rsidDel="00000000" w:rsidR="00000000" w:rsidRPr="00000000">
            <w:rPr>
              <w:b w:val="1"/>
              <w:rtl w:val="0"/>
            </w:rPr>
            <w:tab/>
          </w:r>
          <w:r w:rsidDel="00000000" w:rsidR="00000000" w:rsidRPr="00000000">
            <w:fldChar w:fldCharType="begin"/>
            <w:instrText xml:space="preserve"> PAGEREF _8zaxk2pt4ycg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360"/>
            </w:tabs>
            <w:spacing w:before="200" w:line="240" w:lineRule="auto"/>
            <w:ind w:left="0" w:firstLine="0"/>
            <w:rPr>
              <w:rFonts w:ascii="Barlow" w:cs="Barlow" w:eastAsia="Barlow" w:hAnsi="Barlow"/>
              <w:b w:val="1"/>
              <w:i w:val="0"/>
              <w:smallCaps w:val="0"/>
              <w:strike w:val="0"/>
              <w:color w:val="000000"/>
              <w:sz w:val="24"/>
              <w:szCs w:val="24"/>
              <w:u w:val="none"/>
              <w:shd w:fill="auto" w:val="clear"/>
              <w:vertAlign w:val="baseline"/>
            </w:rPr>
          </w:pPr>
          <w:hyperlink w:anchor="_m7vxj64e9yr9">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Formulaires (page d’accueil de la plateforme)</w:t>
            </w:r>
          </w:hyperlin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_m7vxj64e9yr9 \h </w:instrText>
            <w:fldChar w:fldCharType="separate"/>
          </w:r>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9360"/>
            </w:tabs>
            <w:spacing w:before="200" w:line="240" w:lineRule="auto"/>
            <w:ind w:left="0" w:firstLine="0"/>
            <w:rPr>
              <w:rFonts w:ascii="Barlow" w:cs="Barlow" w:eastAsia="Barlow" w:hAnsi="Barlow"/>
              <w:b w:val="1"/>
              <w:i w:val="0"/>
              <w:smallCaps w:val="0"/>
              <w:strike w:val="0"/>
              <w:color w:val="000000"/>
              <w:sz w:val="24"/>
              <w:szCs w:val="24"/>
              <w:u w:val="none"/>
              <w:shd w:fill="auto" w:val="clear"/>
              <w:vertAlign w:val="baseline"/>
            </w:rPr>
          </w:pPr>
          <w:hyperlink w:anchor="_c6gl6wq799nw">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Validation des correspondances</w:t>
            </w:r>
          </w:hyperlin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_c6gl6wq799nw \h </w:instrText>
            <w:fldChar w:fldCharType="separate"/>
          </w:r>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9360"/>
            </w:tabs>
            <w:spacing w:after="80" w:before="200" w:line="240" w:lineRule="auto"/>
            <w:ind w:left="0" w:firstLine="0"/>
            <w:rPr>
              <w:rFonts w:ascii="Barlow" w:cs="Barlow" w:eastAsia="Barlow" w:hAnsi="Barlow"/>
              <w:b w:val="1"/>
              <w:i w:val="0"/>
              <w:smallCaps w:val="0"/>
              <w:strike w:val="0"/>
              <w:color w:val="000000"/>
              <w:sz w:val="24"/>
              <w:szCs w:val="24"/>
              <w:u w:val="none"/>
              <w:shd w:fill="auto" w:val="clear"/>
              <w:vertAlign w:val="baseline"/>
            </w:rPr>
          </w:pPr>
          <w:hyperlink w:anchor="_ntyykhf4rfaz">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Autre information</w:t>
            </w:r>
          </w:hyperlink>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_ntyykhf4rfaz \h </w:instrText>
            <w:fldChar w:fldCharType="separate"/>
          </w:r>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pStyle w:val="Heading1"/>
        <w:pageBreakBefore w:val="0"/>
        <w:rPr/>
      </w:pPr>
      <w:bookmarkStart w:colFirst="0" w:colLast="0" w:name="_vd3jrfkzj32a" w:id="3"/>
      <w:bookmarkEnd w:id="3"/>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pageBreakBefore w:val="0"/>
        <w:rPr/>
      </w:pPr>
      <w:bookmarkStart w:colFirst="0" w:colLast="0" w:name="_yemvut19fwla" w:id="4"/>
      <w:bookmarkEnd w:id="4"/>
      <w:r w:rsidDel="00000000" w:rsidR="00000000" w:rsidRPr="00000000">
        <w:rPr>
          <w:rtl w:val="0"/>
        </w:rPr>
        <w:t xml:space="preserve">Se connecter à la plateforme</w:t>
      </w:r>
    </w:p>
    <w:p w:rsidR="00000000" w:rsidDel="00000000" w:rsidP="00000000" w:rsidRDefault="00000000" w:rsidRPr="00000000" w14:paraId="00000011">
      <w:pPr>
        <w:pageBreakBefore w:val="0"/>
        <w:rPr/>
      </w:pPr>
      <w:r w:rsidDel="00000000" w:rsidR="00000000" w:rsidRPr="00000000">
        <w:rPr>
          <w:rtl w:val="0"/>
        </w:rPr>
        <w:t xml:space="preserve">Contrairement à l’app de collecte mobile, l’accès à la plateforme de collecte et de fusion de données IASO se fait au travers d’accès individuels qui doivent être délivrés par le gestionnaire de la plateforme. L’utilisation de la plateforme se fait en général au niveau central par des administrateurs et non pas sur le terrain. </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jc w:val="center"/>
        <w:rPr>
          <w:i w:val="1"/>
        </w:rPr>
      </w:pPr>
      <w:r w:rsidDel="00000000" w:rsidR="00000000" w:rsidRPr="00000000">
        <w:rPr>
          <w:i w:val="1"/>
          <w:rtl w:val="0"/>
        </w:rPr>
        <w:t xml:space="preserve">Ecran d’accueil </w:t>
      </w:r>
      <w:hyperlink r:id="rId7">
        <w:r w:rsidDel="00000000" w:rsidR="00000000" w:rsidRPr="00000000">
          <w:rPr>
            <w:i w:val="1"/>
            <w:color w:val="1155cc"/>
            <w:u w:val="single"/>
            <w:rtl w:val="0"/>
          </w:rPr>
          <w:t xml:space="preserve">https://iaso-playground.bluesquare.org</w:t>
        </w:r>
      </w:hyperlink>
      <w:r w:rsidDel="00000000" w:rsidR="00000000" w:rsidRPr="00000000">
        <w:rPr>
          <w:rtl w:val="0"/>
        </w:rPr>
      </w:r>
    </w:p>
    <w:p w:rsidR="00000000" w:rsidDel="00000000" w:rsidP="00000000" w:rsidRDefault="00000000" w:rsidRPr="00000000" w14:paraId="00000014">
      <w:pPr>
        <w:pageBreakBefore w:val="0"/>
        <w:jc w:val="center"/>
        <w:rPr/>
      </w:pPr>
      <w:r w:rsidDel="00000000" w:rsidR="00000000" w:rsidRPr="00000000">
        <w:rPr/>
        <w:drawing>
          <wp:inline distB="114300" distT="114300" distL="114300" distR="114300">
            <wp:extent cx="2071688" cy="2071688"/>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07168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jc w:val="right"/>
        <w:rPr/>
      </w:pPr>
      <w:r w:rsidDel="00000000" w:rsidR="00000000" w:rsidRPr="00000000">
        <w:rPr>
          <w:rtl w:val="0"/>
        </w:rPr>
      </w:r>
    </w:p>
    <w:p w:rsidR="00000000" w:rsidDel="00000000" w:rsidP="00000000" w:rsidRDefault="00000000" w:rsidRPr="00000000" w14:paraId="00000016">
      <w:pPr>
        <w:pStyle w:val="Heading1"/>
        <w:pageBreakBefore w:val="0"/>
        <w:rPr/>
      </w:pPr>
      <w:bookmarkStart w:colFirst="0" w:colLast="0" w:name="_xaq7ii4k82at" w:id="5"/>
      <w:bookmarkEnd w:id="5"/>
      <w:r w:rsidDel="00000000" w:rsidR="00000000" w:rsidRPr="00000000">
        <w:rPr>
          <w:rtl w:val="0"/>
        </w:rPr>
      </w:r>
    </w:p>
    <w:p w:rsidR="00000000" w:rsidDel="00000000" w:rsidP="00000000" w:rsidRDefault="00000000" w:rsidRPr="00000000" w14:paraId="00000017">
      <w:pPr>
        <w:pStyle w:val="Heading1"/>
        <w:pageBreakBefore w:val="0"/>
        <w:rPr/>
      </w:pPr>
      <w:bookmarkStart w:colFirst="0" w:colLast="0" w:name="_629msww4htik" w:id="6"/>
      <w:bookmarkEnd w:id="6"/>
      <w:r w:rsidDel="00000000" w:rsidR="00000000" w:rsidRPr="00000000">
        <w:rPr>
          <w:rtl w:val="0"/>
        </w:rPr>
        <w:t xml:space="preserve">Gérer les unités d’organisation</w:t>
      </w:r>
    </w:p>
    <w:p w:rsidR="00000000" w:rsidDel="00000000" w:rsidP="00000000" w:rsidRDefault="00000000" w:rsidRPr="00000000" w14:paraId="00000018">
      <w:pPr>
        <w:pageBreakBefore w:val="0"/>
        <w:rPr/>
      </w:pPr>
      <w:r w:rsidDel="00000000" w:rsidR="00000000" w:rsidRPr="00000000">
        <w:rPr>
          <w:rtl w:val="0"/>
        </w:rPr>
        <w:t xml:space="preserve">Une fois les informations d’identification remplies, on se retrouve automatiquement sur la page des formulaires qui sont liés à la plateforme. L’onglet “Formulaires” sera revu plus tard.</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L’onglet “</w:t>
      </w:r>
      <w:r w:rsidDel="00000000" w:rsidR="00000000" w:rsidRPr="00000000">
        <w:rPr>
          <w:i w:val="1"/>
          <w:rtl w:val="0"/>
        </w:rPr>
        <w:t xml:space="preserve">Unités d’organisation (org units)</w:t>
      </w:r>
      <w:r w:rsidDel="00000000" w:rsidR="00000000" w:rsidRPr="00000000">
        <w:rPr>
          <w:rtl w:val="0"/>
        </w:rPr>
        <w:t xml:space="preserve">” permet de gérer les structures encodées.</w:t>
      </w:r>
    </w:p>
    <w:p w:rsidR="00000000" w:rsidDel="00000000" w:rsidP="00000000" w:rsidRDefault="00000000" w:rsidRPr="00000000" w14:paraId="0000001B">
      <w:pPr>
        <w:pageBreakBefore w:val="0"/>
        <w:jc w:val="center"/>
        <w:rPr/>
      </w:pPr>
      <w:r w:rsidDel="00000000" w:rsidR="00000000" w:rsidRPr="00000000">
        <w:rPr/>
        <w:drawing>
          <wp:inline distB="114300" distT="114300" distL="114300" distR="114300">
            <wp:extent cx="1567825" cy="1423988"/>
            <wp:effectExtent b="12700" l="12700" r="12700" t="12700"/>
            <wp:docPr id="3" name="image11.png"/>
            <a:graphic>
              <a:graphicData uri="http://schemas.openxmlformats.org/drawingml/2006/picture">
                <pic:pic>
                  <pic:nvPicPr>
                    <pic:cNvPr id="0" name="image11.png"/>
                    <pic:cNvPicPr preferRelativeResize="0"/>
                  </pic:nvPicPr>
                  <pic:blipFill>
                    <a:blip r:embed="rId9"/>
                    <a:srcRect b="58056" l="801" r="81730" t="16624"/>
                    <a:stretch>
                      <a:fillRect/>
                    </a:stretch>
                  </pic:blipFill>
                  <pic:spPr>
                    <a:xfrm>
                      <a:off x="0" y="0"/>
                      <a:ext cx="1567825" cy="1423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drawing>
          <wp:inline distB="114300" distT="114300" distL="114300" distR="114300">
            <wp:extent cx="5943600" cy="2717800"/>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jc w:val="left"/>
        <w:rPr/>
      </w:pPr>
      <w:r w:rsidDel="00000000" w:rsidR="00000000" w:rsidRPr="00000000">
        <w:rPr>
          <w:rtl w:val="0"/>
        </w:rPr>
        <w:t xml:space="preserve">Différents filtres sont disponibles, ainsi que l’option d’afficher les données en liste ou sur une carte. Il est également possible de les télécharger en CSV ou en XLSX. </w:t>
      </w:r>
    </w:p>
    <w:p w:rsidR="00000000" w:rsidDel="00000000" w:rsidP="00000000" w:rsidRDefault="00000000" w:rsidRPr="00000000" w14:paraId="0000001F">
      <w:pPr>
        <w:pageBreakBefore w:val="0"/>
        <w:jc w:val="left"/>
        <w:rPr/>
      </w:pPr>
      <w:r w:rsidDel="00000000" w:rsidR="00000000" w:rsidRPr="00000000">
        <w:rPr>
          <w:rtl w:val="0"/>
        </w:rPr>
      </w:r>
    </w:p>
    <w:p w:rsidR="00000000" w:rsidDel="00000000" w:rsidP="00000000" w:rsidRDefault="00000000" w:rsidRPr="00000000" w14:paraId="00000020">
      <w:pPr>
        <w:pageBreakBefore w:val="0"/>
        <w:numPr>
          <w:ilvl w:val="0"/>
          <w:numId w:val="1"/>
        </w:numPr>
        <w:ind w:left="720" w:hanging="360"/>
        <w:jc w:val="left"/>
        <w:rPr/>
      </w:pPr>
      <w:r w:rsidDel="00000000" w:rsidR="00000000" w:rsidRPr="00000000">
        <w:rPr>
          <w:u w:val="single"/>
          <w:rtl w:val="0"/>
        </w:rPr>
        <w:t xml:space="preserve">Recherche textuelle : </w:t>
      </w:r>
      <w:r w:rsidDel="00000000" w:rsidR="00000000" w:rsidRPr="00000000">
        <w:rPr>
          <w:rtl w:val="0"/>
        </w:rPr>
        <w:t xml:space="preserve">Champ libre de recherche</w:t>
      </w:r>
      <w:r w:rsidDel="00000000" w:rsidR="00000000" w:rsidRPr="00000000">
        <w:rPr>
          <w:rtl w:val="0"/>
        </w:rPr>
      </w:r>
    </w:p>
    <w:p w:rsidR="00000000" w:rsidDel="00000000" w:rsidP="00000000" w:rsidRDefault="00000000" w:rsidRPr="00000000" w14:paraId="00000021">
      <w:pPr>
        <w:pageBreakBefore w:val="0"/>
        <w:numPr>
          <w:ilvl w:val="0"/>
          <w:numId w:val="1"/>
        </w:numPr>
        <w:ind w:left="720" w:hanging="360"/>
        <w:jc w:val="left"/>
        <w:rPr>
          <w:u w:val="none"/>
        </w:rPr>
      </w:pPr>
      <w:r w:rsidDel="00000000" w:rsidR="00000000" w:rsidRPr="00000000">
        <w:rPr>
          <w:u w:val="single"/>
          <w:rtl w:val="0"/>
        </w:rPr>
        <w:t xml:space="preserve">Type d’unité d’organisation</w:t>
      </w:r>
      <w:r w:rsidDel="00000000" w:rsidR="00000000" w:rsidRPr="00000000">
        <w:rPr>
          <w:rtl w:val="0"/>
        </w:rPr>
        <w:t xml:space="preserve">: Zones de santé, Aires de santé, Villages, …</w:t>
      </w:r>
    </w:p>
    <w:p w:rsidR="00000000" w:rsidDel="00000000" w:rsidP="00000000" w:rsidRDefault="00000000" w:rsidRPr="00000000" w14:paraId="00000022">
      <w:pPr>
        <w:pageBreakBefore w:val="0"/>
        <w:numPr>
          <w:ilvl w:val="0"/>
          <w:numId w:val="1"/>
        </w:numPr>
        <w:ind w:left="720" w:hanging="360"/>
        <w:jc w:val="left"/>
        <w:rPr>
          <w:u w:val="none"/>
        </w:rPr>
      </w:pPr>
      <w:r w:rsidDel="00000000" w:rsidR="00000000" w:rsidRPr="00000000">
        <w:rPr>
          <w:u w:val="single"/>
          <w:rtl w:val="0"/>
        </w:rPr>
        <w:t xml:space="preserve">Groupe</w:t>
      </w:r>
      <w:r w:rsidDel="00000000" w:rsidR="00000000" w:rsidRPr="00000000">
        <w:rPr>
          <w:rtl w:val="0"/>
        </w:rPr>
        <w:t xml:space="preserve"> : Chaque Source peut être classée en différents groupes de données</w:t>
      </w:r>
      <w:r w:rsidDel="00000000" w:rsidR="00000000" w:rsidRPr="00000000">
        <w:rPr>
          <w:rtl w:val="0"/>
        </w:rPr>
      </w:r>
    </w:p>
    <w:p w:rsidR="00000000" w:rsidDel="00000000" w:rsidP="00000000" w:rsidRDefault="00000000" w:rsidRPr="00000000" w14:paraId="00000023">
      <w:pPr>
        <w:pageBreakBefore w:val="0"/>
        <w:numPr>
          <w:ilvl w:val="0"/>
          <w:numId w:val="1"/>
        </w:numPr>
        <w:ind w:left="720" w:hanging="360"/>
      </w:pPr>
      <w:r w:rsidDel="00000000" w:rsidR="00000000" w:rsidRPr="00000000">
        <w:rPr>
          <w:u w:val="single"/>
          <w:rtl w:val="0"/>
        </w:rPr>
        <w:t xml:space="preserve">Localisation</w:t>
      </w:r>
      <w:r w:rsidDel="00000000" w:rsidR="00000000" w:rsidRPr="00000000">
        <w:rPr>
          <w:rtl w:val="0"/>
        </w:rPr>
        <w:t xml:space="preserve">: Avec ou sans coordonnées GPS</w:t>
      </w:r>
    </w:p>
    <w:p w:rsidR="00000000" w:rsidDel="00000000" w:rsidP="00000000" w:rsidRDefault="00000000" w:rsidRPr="00000000" w14:paraId="00000024">
      <w:pPr>
        <w:pageBreakBefore w:val="0"/>
        <w:numPr>
          <w:ilvl w:val="0"/>
          <w:numId w:val="1"/>
        </w:numPr>
        <w:ind w:left="720" w:hanging="360"/>
        <w:jc w:val="left"/>
        <w:rPr>
          <w:u w:val="none"/>
        </w:rPr>
      </w:pPr>
      <w:r w:rsidDel="00000000" w:rsidR="00000000" w:rsidRPr="00000000">
        <w:rPr>
          <w:u w:val="single"/>
          <w:rtl w:val="0"/>
        </w:rPr>
        <w:t xml:space="preserve">Forme</w:t>
      </w:r>
      <w:r w:rsidDel="00000000" w:rsidR="00000000" w:rsidRPr="00000000">
        <w:rPr>
          <w:rtl w:val="0"/>
        </w:rPr>
        <w:t xml:space="preserve">: Avec ou sans contours géographiques</w:t>
      </w:r>
    </w:p>
    <w:p w:rsidR="00000000" w:rsidDel="00000000" w:rsidP="00000000" w:rsidRDefault="00000000" w:rsidRPr="00000000" w14:paraId="00000025">
      <w:pPr>
        <w:pageBreakBefore w:val="0"/>
        <w:numPr>
          <w:ilvl w:val="0"/>
          <w:numId w:val="1"/>
        </w:numPr>
        <w:ind w:left="720" w:hanging="360"/>
        <w:jc w:val="left"/>
        <w:rPr>
          <w:u w:val="none"/>
        </w:rPr>
      </w:pPr>
      <w:r w:rsidDel="00000000" w:rsidR="00000000" w:rsidRPr="00000000">
        <w:rPr>
          <w:u w:val="single"/>
          <w:rtl w:val="0"/>
        </w:rPr>
        <w:t xml:space="preserve">Formulaire</w:t>
      </w:r>
      <w:r w:rsidDel="00000000" w:rsidR="00000000" w:rsidRPr="00000000">
        <w:rPr>
          <w:rtl w:val="0"/>
        </w:rPr>
        <w:t xml:space="preserve"> : Avec ou sans</w:t>
      </w:r>
    </w:p>
    <w:p w:rsidR="00000000" w:rsidDel="00000000" w:rsidP="00000000" w:rsidRDefault="00000000" w:rsidRPr="00000000" w14:paraId="00000026">
      <w:pPr>
        <w:pageBreakBefore w:val="0"/>
        <w:numPr>
          <w:ilvl w:val="0"/>
          <w:numId w:val="1"/>
        </w:numPr>
        <w:ind w:left="720" w:hanging="360"/>
        <w:jc w:val="left"/>
        <w:rPr>
          <w:u w:val="none"/>
        </w:rPr>
      </w:pPr>
      <w:r w:rsidDel="00000000" w:rsidR="00000000" w:rsidRPr="00000000">
        <w:rPr>
          <w:u w:val="single"/>
          <w:rtl w:val="0"/>
        </w:rPr>
        <w:t xml:space="preserve">Statut</w:t>
      </w:r>
      <w:r w:rsidDel="00000000" w:rsidR="00000000" w:rsidRPr="00000000">
        <w:rPr>
          <w:rtl w:val="0"/>
        </w:rPr>
        <w:t xml:space="preserve">: Données validées ou non</w:t>
      </w:r>
    </w:p>
    <w:p w:rsidR="00000000" w:rsidDel="00000000" w:rsidP="00000000" w:rsidRDefault="00000000" w:rsidRPr="00000000" w14:paraId="00000027">
      <w:pPr>
        <w:pageBreakBefore w:val="0"/>
        <w:numPr>
          <w:ilvl w:val="0"/>
          <w:numId w:val="1"/>
        </w:numPr>
        <w:ind w:left="720" w:hanging="360"/>
        <w:jc w:val="left"/>
        <w:rPr>
          <w:u w:val="none"/>
        </w:rPr>
      </w:pPr>
      <w:r w:rsidDel="00000000" w:rsidR="00000000" w:rsidRPr="00000000">
        <w:rPr>
          <w:u w:val="single"/>
          <w:rtl w:val="0"/>
        </w:rPr>
        <w:t xml:space="preserve">Sources</w:t>
      </w:r>
      <w:r w:rsidDel="00000000" w:rsidR="00000000" w:rsidRPr="00000000">
        <w:rPr>
          <w:rtl w:val="0"/>
        </w:rPr>
        <w:t xml:space="preserve"> : Provenance des données</w:t>
      </w:r>
    </w:p>
    <w:p w:rsidR="00000000" w:rsidDel="00000000" w:rsidP="00000000" w:rsidRDefault="00000000" w:rsidRPr="00000000" w14:paraId="00000028">
      <w:pPr>
        <w:pageBreakBefore w:val="0"/>
        <w:numPr>
          <w:ilvl w:val="0"/>
          <w:numId w:val="1"/>
        </w:numPr>
        <w:ind w:left="720" w:hanging="360"/>
        <w:jc w:val="left"/>
        <w:rPr>
          <w:u w:val="none"/>
        </w:rPr>
      </w:pPr>
      <w:r w:rsidDel="00000000" w:rsidR="00000000" w:rsidRPr="00000000">
        <w:rPr>
          <w:u w:val="single"/>
          <w:rtl w:val="0"/>
        </w:rPr>
        <w:t xml:space="preserve">Niveau</w:t>
      </w:r>
      <w:r w:rsidDel="00000000" w:rsidR="00000000" w:rsidRPr="00000000">
        <w:rPr>
          <w:rtl w:val="0"/>
        </w:rPr>
        <w:t xml:space="preserve"> 1 - 2 - 3 - etc : Filtrer sur base de la pyramide sanitaire (Région - District - …)</w:t>
      </w:r>
      <w:r w:rsidDel="00000000" w:rsidR="00000000" w:rsidRPr="00000000">
        <w:rPr>
          <w:rtl w:val="0"/>
        </w:rPr>
      </w:r>
    </w:p>
    <w:p w:rsidR="00000000" w:rsidDel="00000000" w:rsidP="00000000" w:rsidRDefault="00000000" w:rsidRPr="00000000" w14:paraId="00000029">
      <w:pPr>
        <w:pageBreakBefore w:val="0"/>
        <w:jc w:val="left"/>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Après avoir cliqué sur “Rechercher” les résultats correspondants aux différents filtres apparaissent. </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200025</wp:posOffset>
                </wp:positionV>
                <wp:extent cx="852097" cy="509588"/>
                <wp:effectExtent b="0" l="0" r="0" t="0"/>
                <wp:wrapSquare wrapText="bothSides" distB="114300" distT="114300" distL="114300" distR="114300"/>
                <wp:docPr id="1" name=""/>
                <a:graphic>
                  <a:graphicData uri="http://schemas.microsoft.com/office/word/2010/wordprocessingShape">
                    <wps:wsp>
                      <wps:cNvSpPr/>
                      <wps:cNvPr id="2" name="Shape 2"/>
                      <wps:spPr>
                        <a:xfrm>
                          <a:off x="2655350" y="1494850"/>
                          <a:ext cx="954000" cy="5607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200025</wp:posOffset>
                </wp:positionV>
                <wp:extent cx="852097" cy="509588"/>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852097" cy="50958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983326" cy="404813"/>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12"/>
                    <a:srcRect b="29156" l="4396" r="3044" t="60869"/>
                    <a:stretch>
                      <a:fillRect/>
                    </a:stretch>
                  </pic:blipFill>
                  <pic:spPr>
                    <a:xfrm>
                      <a:off x="0" y="0"/>
                      <a:ext cx="5983326" cy="404813"/>
                    </a:xfrm>
                    <a:prstGeom prst="rect"/>
                    <a:ln/>
                  </pic:spPr>
                </pic:pic>
              </a:graphicData>
            </a:graphic>
          </wp:anchor>
        </w:drawing>
      </w:r>
    </w:p>
    <w:p w:rsidR="00000000" w:rsidDel="00000000" w:rsidP="00000000" w:rsidRDefault="00000000" w:rsidRPr="00000000" w14:paraId="0000002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Les trois icônes entourées ci-dessus permettent de visualiser :</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numPr>
          <w:ilvl w:val="0"/>
          <w:numId w:val="2"/>
        </w:numPr>
        <w:ind w:left="720" w:hanging="360"/>
      </w:pPr>
      <w:r w:rsidDel="00000000" w:rsidR="00000000" w:rsidRPr="00000000">
        <w:rPr>
          <w:b w:val="1"/>
          <w:rtl w:val="0"/>
        </w:rPr>
        <w:t xml:space="preserve">Info</w:t>
      </w:r>
      <w:r w:rsidDel="00000000" w:rsidR="00000000" w:rsidRPr="00000000">
        <w:rPr>
          <w:rtl w:val="0"/>
        </w:rPr>
        <w:t xml:space="preserve"> : L</w:t>
      </w:r>
      <w:r w:rsidDel="00000000" w:rsidR="00000000" w:rsidRPr="00000000">
        <w:rPr>
          <w:rtl w:val="0"/>
        </w:rPr>
        <w:t xml:space="preserve">e détail de</w:t>
      </w:r>
      <w:r w:rsidDel="00000000" w:rsidR="00000000" w:rsidRPr="00000000">
        <w:rPr>
          <w:rtl w:val="0"/>
        </w:rPr>
        <w:t xml:space="preserve">s informations liées à l’unité d’organisation sélectionnée</w:t>
      </w:r>
    </w:p>
    <w:p w:rsidR="00000000" w:rsidDel="00000000" w:rsidP="00000000" w:rsidRDefault="00000000" w:rsidRPr="00000000" w14:paraId="00000031">
      <w:pPr>
        <w:pageBreakBefore w:val="0"/>
        <w:numPr>
          <w:ilvl w:val="0"/>
          <w:numId w:val="2"/>
        </w:numPr>
        <w:ind w:left="720" w:hanging="360"/>
      </w:pPr>
      <w:r w:rsidDel="00000000" w:rsidR="00000000" w:rsidRPr="00000000">
        <w:rPr>
          <w:b w:val="1"/>
          <w:rtl w:val="0"/>
        </w:rPr>
        <w:t xml:space="preserve">Carte</w:t>
      </w:r>
      <w:r w:rsidDel="00000000" w:rsidR="00000000" w:rsidRPr="00000000">
        <w:rPr>
          <w:rtl w:val="0"/>
        </w:rPr>
        <w:t xml:space="preserve">:</w:t>
      </w:r>
      <w:r w:rsidDel="00000000" w:rsidR="00000000" w:rsidRPr="00000000">
        <w:rPr>
          <w:rtl w:val="0"/>
        </w:rPr>
        <w:t xml:space="preserve"> position géographique de l’unité d’organisa</w:t>
      </w:r>
      <w:r w:rsidDel="00000000" w:rsidR="00000000" w:rsidRPr="00000000">
        <w:rPr>
          <w:rtl w:val="0"/>
        </w:rPr>
        <w:t xml:space="preserve">tion</w:t>
      </w:r>
    </w:p>
    <w:p w:rsidR="00000000" w:rsidDel="00000000" w:rsidP="00000000" w:rsidRDefault="00000000" w:rsidRPr="00000000" w14:paraId="00000032">
      <w:pPr>
        <w:pageBreakBefore w:val="0"/>
        <w:numPr>
          <w:ilvl w:val="1"/>
          <w:numId w:val="2"/>
        </w:numPr>
        <w:ind w:left="1440" w:hanging="360"/>
      </w:pPr>
      <w:r w:rsidDel="00000000" w:rsidR="00000000" w:rsidRPr="00000000">
        <w:rPr>
          <w:rtl w:val="0"/>
        </w:rPr>
        <w:t xml:space="preserve">L’outil “</w:t>
      </w:r>
      <w:r w:rsidDel="00000000" w:rsidR="00000000" w:rsidRPr="00000000">
        <w:rPr>
          <w:b w:val="1"/>
          <w:rtl w:val="0"/>
        </w:rPr>
        <w:t xml:space="preserve">Edition</w:t>
      </w:r>
      <w:r w:rsidDel="00000000" w:rsidR="00000000" w:rsidRPr="00000000">
        <w:rPr>
          <w:rtl w:val="0"/>
        </w:rPr>
        <w:t xml:space="preserve">” permet de modifier les données de localisation (soit en modifiant manuellement les données de longitude et latitude soit en utilisant la fonctionnalité “drag and drop” qui permet de bouger le pointeur).  </w:t>
      </w:r>
    </w:p>
    <w:p w:rsidR="00000000" w:rsidDel="00000000" w:rsidP="00000000" w:rsidRDefault="00000000" w:rsidRPr="00000000" w14:paraId="00000033">
      <w:pPr>
        <w:pageBreakBefore w:val="0"/>
        <w:numPr>
          <w:ilvl w:val="0"/>
          <w:numId w:val="2"/>
        </w:numPr>
        <w:ind w:left="720" w:hanging="360"/>
      </w:pPr>
      <w:r w:rsidDel="00000000" w:rsidR="00000000" w:rsidRPr="00000000">
        <w:rPr>
          <w:b w:val="1"/>
          <w:rtl w:val="0"/>
        </w:rPr>
        <w:t xml:space="preserve">Historique</w:t>
      </w:r>
      <w:r w:rsidDel="00000000" w:rsidR="00000000" w:rsidRPr="00000000">
        <w:rPr>
          <w:rtl w:val="0"/>
        </w:rPr>
        <w:t xml:space="preserve"> : L’accès à</w:t>
      </w:r>
      <w:r w:rsidDel="00000000" w:rsidR="00000000" w:rsidRPr="00000000">
        <w:rPr>
          <w:rtl w:val="0"/>
        </w:rPr>
        <w:t xml:space="preserve"> l’historique des modifications pe</w:t>
      </w:r>
      <w:r w:rsidDel="00000000" w:rsidR="00000000" w:rsidRPr="00000000">
        <w:rPr>
          <w:rtl w:val="0"/>
        </w:rPr>
        <w:t xml:space="preserve">rmet non seulement de voir quelles ont été les modifications opérées, mais par qui elles ont été opérées et quand. Les modifications peuvent aussi être visualisées directement sur la carte. </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5943600" cy="22225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681663" cy="2649621"/>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81663" cy="264962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pageBreakBefore w:val="0"/>
        <w:rPr/>
      </w:pPr>
      <w:bookmarkStart w:colFirst="0" w:colLast="0" w:name="_wi2lkj395hdu" w:id="7"/>
      <w:bookmarkEnd w:id="7"/>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pageBreakBefore w:val="0"/>
        <w:rPr/>
      </w:pPr>
      <w:bookmarkStart w:colFirst="0" w:colLast="0" w:name="_8zaxk2pt4ycg" w:id="8"/>
      <w:bookmarkEnd w:id="8"/>
      <w:r w:rsidDel="00000000" w:rsidR="00000000" w:rsidRPr="00000000">
        <w:rPr>
          <w:rtl w:val="0"/>
        </w:rPr>
        <w:t xml:space="preserve">Description</w:t>
      </w:r>
      <w:r w:rsidDel="00000000" w:rsidR="00000000" w:rsidRPr="00000000">
        <w:rPr>
          <w:rtl w:val="0"/>
        </w:rPr>
        <w:t xml:space="preserve"> des données actuellement présentes</w:t>
      </w:r>
      <w:r w:rsidDel="00000000" w:rsidR="00000000" w:rsidRPr="00000000">
        <w:rPr>
          <w:rtl w:val="0"/>
        </w:rPr>
      </w:r>
    </w:p>
    <w:p w:rsidR="00000000" w:rsidDel="00000000" w:rsidP="00000000" w:rsidRDefault="00000000" w:rsidRPr="00000000" w14:paraId="0000003B">
      <w:pPr>
        <w:pageBreakBefore w:val="0"/>
        <w:jc w:val="left"/>
        <w:rPr/>
      </w:pPr>
      <w:r w:rsidDel="00000000" w:rsidR="00000000" w:rsidRPr="00000000">
        <w:rPr>
          <w:rtl w:val="0"/>
        </w:rPr>
        <w:t xml:space="preserve">L’onglet </w:t>
      </w:r>
      <w:r w:rsidDel="00000000" w:rsidR="00000000" w:rsidRPr="00000000">
        <w:rPr>
          <w:b w:val="1"/>
          <w:rtl w:val="0"/>
        </w:rPr>
        <w:t xml:space="preserve">Source</w:t>
      </w:r>
      <w:r w:rsidDel="00000000" w:rsidR="00000000" w:rsidRPr="00000000">
        <w:rPr>
          <w:rtl w:val="0"/>
        </w:rPr>
        <w:t xml:space="preserve"> indique toutes les sources disponibles dans la plateforme. </w:t>
        <w:br w:type="textWrapping"/>
        <w:t xml:space="preserve">Pour le moment, les  7 sources suivantes sont disponibles, pour  un total de 156634 résultats</w:t>
      </w:r>
    </w:p>
    <w:p w:rsidR="00000000" w:rsidDel="00000000" w:rsidP="00000000" w:rsidRDefault="00000000" w:rsidRPr="00000000" w14:paraId="0000003C">
      <w:pPr>
        <w:pageBreakBefore w:val="0"/>
        <w:jc w:val="left"/>
        <w:rPr>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945"/>
        <w:gridCol w:w="735"/>
        <w:gridCol w:w="945"/>
        <w:gridCol w:w="5235"/>
        <w:tblGridChange w:id="0">
          <w:tblGrid>
            <w:gridCol w:w="1500"/>
            <w:gridCol w:w="945"/>
            <w:gridCol w:w="735"/>
            <w:gridCol w:w="945"/>
            <w:gridCol w:w="5235"/>
          </w:tblGrid>
        </w:tblGridChange>
      </w:tblGrid>
      <w:tr>
        <w:trPr>
          <w:cantSplit w:val="0"/>
          <w:trHeight w:val="2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Avec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Avec Localisation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List FOSA jan-nov.xlsx</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Liste de centres de santé qui ont été visités et pour lesquels des coordonnées GPS ont été récoltées pour chaque mois, entre janvier et novembre 2019. Chaque structure a donc été visitée 11x. Pour le moment, seul la première visite a été prise en compte.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 4282 centres de santé ont été visités, dont environ 50% ont actuellement des coordonnées GPS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29396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5">
              <w:r w:rsidDel="00000000" w:rsidR="00000000" w:rsidRPr="00000000">
                <w:rPr>
                  <w:color w:val="1155cc"/>
                  <w:u w:val="single"/>
                  <w:rtl w:val="0"/>
                </w:rPr>
                <w:t xml:space="preserve">https://dhis2.cartesanitairerdc.org/</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Toutes les données “HFR” disponibles sont basée sur le SNIS dev. Toutes ces données n’ont pas encore été validées et intégrées dans le SNIS prod.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Parmis ces 17900 centres de santé, 12953 (72%) ont un GPS, qui proviennent eux-mêmes des sources suivantes: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Vaccination [not all data have been loaded yet] = 492</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Etat des lieux =2389</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Kemri = 3895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SNIS = 6177</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Kemri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14586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spatial database of health facilities managed by the public health sector in sub Saharan Africa</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w:t>
            </w:r>
            <w:hyperlink r:id="rId16">
              <w:r w:rsidDel="00000000" w:rsidR="00000000" w:rsidRPr="00000000">
                <w:rPr>
                  <w:rFonts w:ascii="Arial" w:cs="Arial" w:eastAsia="Arial" w:hAnsi="Arial"/>
                  <w:color w:val="1155cc"/>
                  <w:sz w:val="23"/>
                  <w:szCs w:val="23"/>
                  <w:u w:val="single"/>
                  <w:shd w:fill="f8f8f8" w:val="clear"/>
                  <w:rtl w:val="0"/>
                </w:rPr>
                <w:t xml:space="preserve">https://www.nature.com/articles/s41597-019-0142-2</w:t>
              </w:r>
            </w:hyperlink>
            <w:r w:rsidDel="00000000" w:rsidR="00000000" w:rsidRPr="00000000">
              <w:rPr>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14.586 centre de santé géolocalis</w:t>
            </w:r>
            <w:r w:rsidDel="00000000" w:rsidR="00000000" w:rsidRPr="00000000">
              <w:rPr>
                <w:rFonts w:ascii="Roboto" w:cs="Roboto" w:eastAsia="Roboto" w:hAnsi="Roboto"/>
                <w:sz w:val="21"/>
                <w:szCs w:val="21"/>
                <w:highlight w:val="white"/>
                <w:rtl w:val="0"/>
              </w:rPr>
              <w:t xml:space="preserve">é</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PDSS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hd w:fill="ffffff" w:val="clear"/>
              <w:jc w:val="left"/>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Programme de la Banque Mondiale</w:t>
            </w:r>
          </w:p>
          <w:p w:rsidR="00000000" w:rsidDel="00000000" w:rsidP="00000000" w:rsidRDefault="00000000" w:rsidRPr="00000000" w14:paraId="00000067">
            <w:pPr>
              <w:pageBreakBefore w:val="0"/>
              <w:widowControl w:val="0"/>
              <w:shd w:fill="ffffff" w:val="clear"/>
              <w:jc w:val="left"/>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Les données sont disponible sur </w:t>
            </w:r>
            <w:hyperlink r:id="rId17">
              <w:r w:rsidDel="00000000" w:rsidR="00000000" w:rsidRPr="00000000">
                <w:rPr>
                  <w:rFonts w:ascii="Arial" w:cs="Arial" w:eastAsia="Arial" w:hAnsi="Arial"/>
                  <w:color w:val="1155cc"/>
                  <w:sz w:val="22"/>
                  <w:szCs w:val="22"/>
                  <w:u w:val="single"/>
                  <w:rtl w:val="0"/>
                </w:rPr>
                <w:t xml:space="preserve">http://www.fbp-rdc.org/data</w:t>
              </w:r>
            </w:hyperlink>
            <w:r w:rsidDel="00000000" w:rsidR="00000000" w:rsidRPr="00000000">
              <w:rPr>
                <w:rtl w:val="0"/>
              </w:rPr>
            </w:r>
          </w:p>
          <w:p w:rsidR="00000000" w:rsidDel="00000000" w:rsidP="00000000" w:rsidRDefault="00000000" w:rsidRPr="00000000" w14:paraId="00000068">
            <w:pPr>
              <w:pageBreakBefore w:val="0"/>
              <w:widowControl w:val="0"/>
              <w:shd w:fill="ffffff" w:val="clear"/>
              <w:jc w:val="left"/>
              <w:rPr/>
            </w:pPr>
            <w:r w:rsidDel="00000000" w:rsidR="00000000" w:rsidRPr="00000000">
              <w:rPr>
                <w:rFonts w:ascii="Arial" w:cs="Arial" w:eastAsia="Arial" w:hAnsi="Arial"/>
                <w:color w:val="222222"/>
                <w:sz w:val="22"/>
                <w:szCs w:val="22"/>
                <w:rtl w:val="0"/>
              </w:rPr>
              <w:t xml:space="preserve">1346 centre de santé géo-localisé sur les 3449 centre de santé du PDSS (soit environ 40% qui sont géoréférencés)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PNLS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color w:val="222222"/>
                <w:sz w:val="22"/>
                <w:szCs w:val="22"/>
                <w:highlight w:val="white"/>
                <w:rtl w:val="0"/>
              </w:rPr>
              <w:t xml:space="preserve">Le PNLS a mené une enquête dans environ 90% des centres de santé HIV. Des discussions sont en cours avec le PNLS pour intégrer les données du PNLS dans </w:t>
            </w:r>
            <w:hyperlink r:id="rId18">
              <w:r w:rsidDel="00000000" w:rsidR="00000000" w:rsidRPr="00000000">
                <w:rPr>
                  <w:rFonts w:ascii="Arial" w:cs="Arial" w:eastAsia="Arial" w:hAnsi="Arial"/>
                  <w:color w:val="1155cc"/>
                  <w:sz w:val="22"/>
                  <w:szCs w:val="22"/>
                  <w:highlight w:val="white"/>
                  <w:u w:val="single"/>
                  <w:rtl w:val="0"/>
                </w:rPr>
                <w:t xml:space="preserve">cartesanitairedrc.org</w:t>
              </w:r>
            </w:hyperlink>
            <w:r w:rsidDel="00000000" w:rsidR="00000000" w:rsidRPr="00000000">
              <w:rPr>
                <w:rFonts w:ascii="Arial" w:cs="Arial" w:eastAsia="Arial" w:hAnsi="Arial"/>
                <w:color w:val="222222"/>
                <w:sz w:val="22"/>
                <w:szCs w:val="22"/>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Copie des données du SNIS.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Ces données servent de référence dans le SNIS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Données officielles du SNIS sur les centres de santé. 6177 FOSA sont géo-localisées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RGC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Tous les ShapeFiles des aires de santé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GPS de 2133 Centres de santé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111294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3255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r>
          </w:p>
        </w:tc>
      </w:tr>
    </w:tbl>
    <w:p w:rsidR="00000000" w:rsidDel="00000000" w:rsidP="00000000" w:rsidRDefault="00000000" w:rsidRPr="00000000" w14:paraId="00000084">
      <w:pPr>
        <w:pageBreakBefore w:val="0"/>
        <w:jc w:val="left"/>
        <w:rPr/>
      </w:pPr>
      <w:r w:rsidDel="00000000" w:rsidR="00000000" w:rsidRPr="00000000">
        <w:rPr>
          <w:rtl w:val="0"/>
        </w:rPr>
      </w:r>
    </w:p>
    <w:p w:rsidR="00000000" w:rsidDel="00000000" w:rsidP="00000000" w:rsidRDefault="00000000" w:rsidRPr="00000000" w14:paraId="00000085">
      <w:pPr>
        <w:pageBreakBefore w:val="0"/>
        <w:jc w:val="left"/>
        <w:rPr/>
      </w:pPr>
      <w:r w:rsidDel="00000000" w:rsidR="00000000" w:rsidRPr="00000000">
        <w:rPr>
          <w:rtl w:val="0"/>
        </w:rPr>
      </w:r>
    </w:p>
    <w:p w:rsidR="00000000" w:rsidDel="00000000" w:rsidP="00000000" w:rsidRDefault="00000000" w:rsidRPr="00000000" w14:paraId="00000086">
      <w:pPr>
        <w:pageBreakBefore w:val="0"/>
        <w:jc w:val="left"/>
        <w:rPr/>
      </w:pPr>
      <w:r w:rsidDel="00000000" w:rsidR="00000000" w:rsidRPr="00000000">
        <w:rPr>
          <w:rtl w:val="0"/>
        </w:rPr>
      </w:r>
    </w:p>
    <w:p w:rsidR="00000000" w:rsidDel="00000000" w:rsidP="00000000" w:rsidRDefault="00000000" w:rsidRPr="00000000" w14:paraId="00000087">
      <w:pPr>
        <w:pageBreakBefore w:val="0"/>
        <w:jc w:val="left"/>
        <w:rPr/>
      </w:pPr>
      <w:r w:rsidDel="00000000" w:rsidR="00000000" w:rsidRPr="00000000">
        <w:rPr>
          <w:rtl w:val="0"/>
        </w:rPr>
        <w:t xml:space="preserve">L’onglet </w:t>
      </w:r>
      <w:r w:rsidDel="00000000" w:rsidR="00000000" w:rsidRPr="00000000">
        <w:rPr>
          <w:b w:val="1"/>
          <w:rtl w:val="0"/>
        </w:rPr>
        <w:t xml:space="preserve">Groupe </w:t>
      </w:r>
      <w:r w:rsidDel="00000000" w:rsidR="00000000" w:rsidRPr="00000000">
        <w:rPr>
          <w:rtl w:val="0"/>
        </w:rPr>
        <w:t xml:space="preserve"> comprennent les informations suivantes </w:t>
        <w:br w:type="textWrapping"/>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jc w:val="left"/>
              <w:rPr>
                <w:b w:val="1"/>
              </w:rPr>
            </w:pPr>
            <w:r w:rsidDel="00000000" w:rsidR="00000000" w:rsidRPr="00000000">
              <w:rPr>
                <w:b w:val="1"/>
                <w:rtl w:val="0"/>
              </w:rPr>
              <w:t xml:space="preserve"> Groupe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jc w:val="left"/>
              <w:rPr>
                <w:b w:val="1"/>
              </w:rPr>
            </w:pPr>
            <w:r w:rsidDel="00000000" w:rsidR="00000000" w:rsidRPr="00000000">
              <w:rPr>
                <w:b w:val="1"/>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jc w:val="left"/>
              <w:rPr/>
            </w:pPr>
            <w:r w:rsidDel="00000000" w:rsidR="00000000" w:rsidRPr="00000000">
              <w:rPr>
                <w:rtl w:val="0"/>
              </w:rPr>
              <w:t xml:space="preserve">AAP ASKIN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jc w:val="left"/>
              <w:rPr/>
            </w:pPr>
            <w:r w:rsidDel="00000000" w:rsidR="00000000" w:rsidRPr="00000000">
              <w:rPr>
                <w:rtl w:val="0"/>
              </w:rPr>
              <w:t xml:space="preserve">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jc w:val="left"/>
              <w:rPr/>
            </w:pPr>
            <w:r w:rsidDel="00000000" w:rsidR="00000000" w:rsidRPr="00000000">
              <w:rPr>
                <w:rtl w:val="0"/>
              </w:rPr>
              <w:t xml:space="preserve">gps_from_mobile_iaso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jc w:val="left"/>
              <w:rPr/>
            </w:pPr>
            <w:r w:rsidDel="00000000" w:rsidR="00000000" w:rsidRPr="00000000">
              <w:rPr>
                <w:rtl w:val="0"/>
              </w:rPr>
              <w:t xml:space="preserve">5292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jc w:val="left"/>
              <w:rPr/>
            </w:pPr>
            <w:r w:rsidDel="00000000" w:rsidR="00000000" w:rsidRPr="00000000">
              <w:rPr>
                <w:rtl w:val="0"/>
              </w:rPr>
              <w:t xml:space="preserve">Formation Sanitaire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jc w:val="left"/>
              <w:rPr>
                <w:color w:val="ff0000"/>
              </w:rPr>
            </w:pPr>
            <w:r w:rsidDel="00000000" w:rsidR="00000000" w:rsidRPr="00000000">
              <w:rPr>
                <w:color w:val="ff0000"/>
                <w:rtl w:val="0"/>
              </w:rPr>
              <w:t xml:space="preserve">17827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jc w:val="left"/>
              <w:rPr/>
            </w:pPr>
            <w:r w:rsidDel="00000000" w:rsidR="00000000" w:rsidRPr="00000000">
              <w:rPr>
                <w:rtl w:val="0"/>
              </w:rPr>
              <w:t xml:space="preserve">Centre de sante de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jc w:val="left"/>
              <w:rPr/>
            </w:pPr>
            <w:r w:rsidDel="00000000" w:rsidR="00000000" w:rsidRPr="00000000">
              <w:rPr>
                <w:rtl w:val="0"/>
              </w:rPr>
              <w:t xml:space="preserve">Aire de Sante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jc w:val="left"/>
              <w:rPr/>
            </w:pPr>
            <w:r w:rsidDel="00000000" w:rsidR="00000000" w:rsidRPr="00000000">
              <w:rPr>
                <w:rtl w:val="0"/>
              </w:rPr>
              <w:t xml:space="preserve">9038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jc w:val="left"/>
              <w:rPr/>
            </w:pPr>
            <w:r w:rsidDel="00000000" w:rsidR="00000000" w:rsidRPr="00000000">
              <w:rPr>
                <w:rtl w:val="0"/>
              </w:rPr>
              <w:t xml:space="preserve">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jc w:val="left"/>
              <w:rPr/>
            </w:pPr>
            <w:r w:rsidDel="00000000" w:rsidR="00000000" w:rsidRPr="00000000">
              <w:rPr>
                <w:rtl w:val="0"/>
              </w:rPr>
              <w:t xml:space="preserve"> (50 groupe différents)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jc w:val="left"/>
              <w:rPr/>
            </w:pPr>
            <w:r w:rsidDel="00000000" w:rsidR="00000000" w:rsidRPr="00000000">
              <w:rPr>
                <w:rtl w:val="0"/>
              </w:rPr>
            </w:r>
          </w:p>
        </w:tc>
      </w:tr>
    </w:tbl>
    <w:p w:rsidR="00000000" w:rsidDel="00000000" w:rsidP="00000000" w:rsidRDefault="00000000" w:rsidRPr="00000000" w14:paraId="000000A9">
      <w:pPr>
        <w:pageBreakBefore w:val="0"/>
        <w:jc w:val="left"/>
        <w:rPr/>
      </w:pPr>
      <w:r w:rsidDel="00000000" w:rsidR="00000000" w:rsidRPr="00000000">
        <w:rPr>
          <w:rtl w:val="0"/>
        </w:rPr>
      </w:r>
    </w:p>
    <w:p w:rsidR="00000000" w:rsidDel="00000000" w:rsidP="00000000" w:rsidRDefault="00000000" w:rsidRPr="00000000" w14:paraId="000000AA">
      <w:pPr>
        <w:pageBreakBefore w:val="0"/>
        <w:jc w:val="left"/>
        <w:rPr/>
      </w:pPr>
      <w:r w:rsidDel="00000000" w:rsidR="00000000" w:rsidRPr="00000000">
        <w:rPr>
          <w:rtl w:val="0"/>
        </w:rPr>
      </w:r>
    </w:p>
    <w:p w:rsidR="00000000" w:rsidDel="00000000" w:rsidP="00000000" w:rsidRDefault="00000000" w:rsidRPr="00000000" w14:paraId="000000AB">
      <w:pPr>
        <w:pStyle w:val="Heading1"/>
        <w:pageBreakBefore w:val="0"/>
        <w:rPr/>
      </w:pPr>
      <w:bookmarkStart w:colFirst="0" w:colLast="0" w:name="_m7vxj64e9yr9" w:id="9"/>
      <w:bookmarkEnd w:id="9"/>
      <w:r w:rsidDel="00000000" w:rsidR="00000000" w:rsidRPr="00000000">
        <w:rPr>
          <w:rtl w:val="0"/>
        </w:rPr>
        <w:t xml:space="preserve">Formulaires (page d’accueil de la plateforme)</w:t>
      </w:r>
    </w:p>
    <w:p w:rsidR="00000000" w:rsidDel="00000000" w:rsidP="00000000" w:rsidRDefault="00000000" w:rsidRPr="00000000" w14:paraId="000000AC">
      <w:pPr>
        <w:pageBreakBefore w:val="0"/>
        <w:rPr/>
      </w:pPr>
      <w:r w:rsidDel="00000000" w:rsidR="00000000" w:rsidRPr="00000000">
        <w:rPr>
          <w:rtl w:val="0"/>
        </w:rPr>
        <w:t xml:space="preserve">Une fois les informations d’identification remplies, on se retrouve automatiquement sur la page des formulaires qui sont liés à la plateforme (Certains questionnaires n’ayant pas encore été rempli en 2020,  il faut changer le filtre actif sur la date pour tous les voir).</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t xml:space="preserve">On peut par exemple voir que le questionnaire sur les centres de Santé a été rempli 4284 fois via l’interface IASO. Ces questionnaires proviennent de la campagne IHP qui utilise IASO pour leur collecte EDL (état des lieux). </w:t>
      </w:r>
    </w:p>
    <w:p w:rsidR="00000000" w:rsidDel="00000000" w:rsidP="00000000" w:rsidRDefault="00000000" w:rsidRPr="00000000" w14:paraId="000000AF">
      <w:pPr>
        <w:pageBreakBefore w:val="0"/>
        <w:rPr/>
      </w:pPr>
      <w:r w:rsidDel="00000000" w:rsidR="00000000" w:rsidRPr="00000000">
        <w:rPr/>
        <w:drawing>
          <wp:inline distB="114300" distT="114300" distL="114300" distR="114300">
            <wp:extent cx="5943600" cy="2679700"/>
            <wp:effectExtent b="0" l="0" r="0" t="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Pour voir un questionnaire en détail, cliquez simplement sur “Voir”. Les différentes soumissions peuvent être analysées &amp; filtrées au moyen de différents filtres:</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numPr>
          <w:ilvl w:val="0"/>
          <w:numId w:val="3"/>
        </w:numPr>
        <w:ind w:left="720" w:hanging="360"/>
      </w:pPr>
      <w:r w:rsidDel="00000000" w:rsidR="00000000" w:rsidRPr="00000000">
        <w:rPr>
          <w:u w:val="single"/>
          <w:rtl w:val="0"/>
        </w:rPr>
        <w:t xml:space="preserve">Localisation</w:t>
      </w:r>
      <w:r w:rsidDel="00000000" w:rsidR="00000000" w:rsidRPr="00000000">
        <w:rPr>
          <w:rtl w:val="0"/>
        </w:rPr>
        <w:t xml:space="preserve">: Avec ou sans coordonnées GPS</w:t>
      </w:r>
    </w:p>
    <w:p w:rsidR="00000000" w:rsidDel="00000000" w:rsidP="00000000" w:rsidRDefault="00000000" w:rsidRPr="00000000" w14:paraId="000000B3">
      <w:pPr>
        <w:pageBreakBefore w:val="0"/>
        <w:numPr>
          <w:ilvl w:val="0"/>
          <w:numId w:val="3"/>
        </w:numPr>
        <w:ind w:left="720" w:hanging="360"/>
      </w:pPr>
      <w:r w:rsidDel="00000000" w:rsidR="00000000" w:rsidRPr="00000000">
        <w:rPr>
          <w:u w:val="single"/>
          <w:rtl w:val="0"/>
        </w:rPr>
        <w:t xml:space="preserve">Appareil</w:t>
      </w:r>
      <w:r w:rsidDel="00000000" w:rsidR="00000000" w:rsidRPr="00000000">
        <w:rPr>
          <w:rtl w:val="0"/>
        </w:rPr>
        <w:t xml:space="preserve"> : N° d’identification</w:t>
      </w:r>
    </w:p>
    <w:p w:rsidR="00000000" w:rsidDel="00000000" w:rsidP="00000000" w:rsidRDefault="00000000" w:rsidRPr="00000000" w14:paraId="000000B4">
      <w:pPr>
        <w:pageBreakBefore w:val="0"/>
        <w:numPr>
          <w:ilvl w:val="0"/>
          <w:numId w:val="3"/>
        </w:numPr>
        <w:ind w:left="720" w:hanging="360"/>
      </w:pPr>
      <w:r w:rsidDel="00000000" w:rsidR="00000000" w:rsidRPr="00000000">
        <w:rPr>
          <w:u w:val="single"/>
          <w:rtl w:val="0"/>
        </w:rPr>
        <w:t xml:space="preserve">Niveau</w:t>
      </w:r>
      <w:r w:rsidDel="00000000" w:rsidR="00000000" w:rsidRPr="00000000">
        <w:rPr>
          <w:rtl w:val="0"/>
        </w:rPr>
        <w:t xml:space="preserve"> 1 - 2 - 3 - etc : Filtrer sur base de la pyramide sanitaire (Région - District - …)</w:t>
      </w:r>
    </w:p>
    <w:p w:rsidR="00000000" w:rsidDel="00000000" w:rsidP="00000000" w:rsidRDefault="00000000" w:rsidRPr="00000000" w14:paraId="000000B5">
      <w:pPr>
        <w:pageBreakBefore w:val="0"/>
        <w:numPr>
          <w:ilvl w:val="0"/>
          <w:numId w:val="3"/>
        </w:numPr>
        <w:ind w:left="720" w:hanging="360"/>
      </w:pPr>
      <w:r w:rsidDel="00000000" w:rsidR="00000000" w:rsidRPr="00000000">
        <w:rPr>
          <w:u w:val="single"/>
          <w:rtl w:val="0"/>
        </w:rPr>
        <w:t xml:space="preserve">Type d’unité d’organisation</w:t>
      </w:r>
      <w:r w:rsidDel="00000000" w:rsidR="00000000" w:rsidRPr="00000000">
        <w:rPr>
          <w:rtl w:val="0"/>
        </w:rPr>
        <w:t xml:space="preserve">: Zone de santé, Air de santé, Village, ...</w:t>
      </w:r>
    </w:p>
    <w:p w:rsidR="00000000" w:rsidDel="00000000" w:rsidP="00000000" w:rsidRDefault="00000000" w:rsidRPr="00000000" w14:paraId="000000B6">
      <w:pPr>
        <w:pageBreakBefore w:val="0"/>
        <w:numPr>
          <w:ilvl w:val="0"/>
          <w:numId w:val="3"/>
        </w:numPr>
        <w:ind w:left="720" w:hanging="360"/>
      </w:pPr>
      <w:r w:rsidDel="00000000" w:rsidR="00000000" w:rsidRPr="00000000">
        <w:rPr>
          <w:u w:val="single"/>
          <w:rtl w:val="0"/>
        </w:rPr>
        <w:t xml:space="preserve">Responsabilité appareil</w:t>
      </w:r>
      <w:r w:rsidDel="00000000" w:rsidR="00000000" w:rsidRPr="00000000">
        <w:rPr>
          <w:rtl w:val="0"/>
        </w:rPr>
        <w:t xml:space="preserve"> : Bailleurs - entreprise responsable, utilisant l’appareil </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Toutes les réponses peuvent être téléchargées en format CSV ou XLSX</w:t>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drawing>
          <wp:inline distB="114300" distT="114300" distL="114300" distR="114300">
            <wp:extent cx="5943600" cy="20701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Les résultat de la recherche peuvent être observés aussi bien en liste que sur une carte.</w:t>
      </w:r>
    </w:p>
    <w:p w:rsidR="00000000" w:rsidDel="00000000" w:rsidP="00000000" w:rsidRDefault="00000000" w:rsidRPr="00000000" w14:paraId="000000BF">
      <w:pPr>
        <w:pageBreakBefore w:val="0"/>
        <w:rPr/>
      </w:pPr>
      <w:r w:rsidDel="00000000" w:rsidR="00000000" w:rsidRPr="00000000">
        <w:rPr/>
        <w:drawing>
          <wp:inline distB="114300" distT="114300" distL="114300" distR="114300">
            <wp:extent cx="5900738" cy="2562550"/>
            <wp:effectExtent b="0" l="0" r="0" t="0"/>
            <wp:docPr id="15" name="image15.png"/>
            <a:graphic>
              <a:graphicData uri="http://schemas.openxmlformats.org/drawingml/2006/picture">
                <pic:pic>
                  <pic:nvPicPr>
                    <pic:cNvPr id="0" name="image15.png"/>
                    <pic:cNvPicPr preferRelativeResize="0"/>
                  </pic:nvPicPr>
                  <pic:blipFill>
                    <a:blip r:embed="rId21"/>
                    <a:srcRect b="14322" l="2403" r="1282" t="18925"/>
                    <a:stretch>
                      <a:fillRect/>
                    </a:stretch>
                  </pic:blipFill>
                  <pic:spPr>
                    <a:xfrm>
                      <a:off x="0" y="0"/>
                      <a:ext cx="5900738" cy="25625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jc w:val="left"/>
        <w:rPr>
          <w:sz w:val="32"/>
          <w:szCs w:val="32"/>
        </w:rPr>
      </w:pPr>
      <w:r w:rsidDel="00000000" w:rsidR="00000000" w:rsidRPr="00000000">
        <w:rPr>
          <w:rtl w:val="0"/>
        </w:rPr>
      </w:r>
    </w:p>
    <w:p w:rsidR="00000000" w:rsidDel="00000000" w:rsidP="00000000" w:rsidRDefault="00000000" w:rsidRPr="00000000" w14:paraId="000000C1">
      <w:pPr>
        <w:pStyle w:val="Heading2"/>
        <w:pageBreakBefore w:val="0"/>
        <w:rPr/>
      </w:pPr>
      <w:bookmarkStart w:colFirst="0" w:colLast="0" w:name="_jhp30jqxhgvw" w:id="10"/>
      <w:bookmarkEnd w:id="10"/>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pageBreakBefore w:val="0"/>
        <w:rPr/>
      </w:pPr>
      <w:bookmarkStart w:colFirst="0" w:colLast="0" w:name="_c6gl6wq799nw" w:id="11"/>
      <w:bookmarkEnd w:id="11"/>
      <w:r w:rsidDel="00000000" w:rsidR="00000000" w:rsidRPr="00000000">
        <w:rPr>
          <w:rtl w:val="0"/>
        </w:rPr>
        <w:t xml:space="preserve">Validation des correspondances</w:t>
      </w:r>
    </w:p>
    <w:p w:rsidR="00000000" w:rsidDel="00000000" w:rsidP="00000000" w:rsidRDefault="00000000" w:rsidRPr="00000000" w14:paraId="000000C3">
      <w:pPr>
        <w:pageBreakBefore w:val="0"/>
        <w:rPr/>
      </w:pPr>
      <w:r w:rsidDel="00000000" w:rsidR="00000000" w:rsidRPr="00000000">
        <w:rPr>
          <w:rtl w:val="0"/>
        </w:rPr>
        <w:t xml:space="preserve">L’onglet “validation des correspondances” permet de gérer les données qui, potentiellement, font référence à la même unité d’organisation.</w:t>
      </w:r>
    </w:p>
    <w:p w:rsidR="00000000" w:rsidDel="00000000" w:rsidP="00000000" w:rsidRDefault="00000000" w:rsidRPr="00000000" w14:paraId="000000C4">
      <w:pPr>
        <w:pStyle w:val="Heading2"/>
        <w:pageBreakBefore w:val="0"/>
        <w:jc w:val="center"/>
        <w:rPr/>
      </w:pPr>
      <w:bookmarkStart w:colFirst="0" w:colLast="0" w:name="_l7uw52sv1s71" w:id="12"/>
      <w:bookmarkEnd w:id="12"/>
      <w:r w:rsidDel="00000000" w:rsidR="00000000" w:rsidRPr="00000000">
        <w:rPr/>
        <w:drawing>
          <wp:inline distB="114300" distT="114300" distL="114300" distR="114300">
            <wp:extent cx="1809750" cy="1751371"/>
            <wp:effectExtent b="12700" l="12700" r="12700" t="12700"/>
            <wp:docPr id="12" name="image12.png"/>
            <a:graphic>
              <a:graphicData uri="http://schemas.openxmlformats.org/drawingml/2006/picture">
                <pic:pic>
                  <pic:nvPicPr>
                    <pic:cNvPr id="0" name="image12.png"/>
                    <pic:cNvPicPr preferRelativeResize="0"/>
                  </pic:nvPicPr>
                  <pic:blipFill>
                    <a:blip r:embed="rId22"/>
                    <a:srcRect b="57033" l="801" r="81891" t="16368"/>
                    <a:stretch>
                      <a:fillRect/>
                    </a:stretch>
                  </pic:blipFill>
                  <pic:spPr>
                    <a:xfrm>
                      <a:off x="0" y="0"/>
                      <a:ext cx="1809750" cy="1751371"/>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238125</wp:posOffset>
                </wp:positionV>
                <wp:extent cx="1657772" cy="509588"/>
                <wp:effectExtent b="0" l="0" r="0" t="0"/>
                <wp:wrapSquare wrapText="bothSides" distB="114300" distT="114300" distL="114300" distR="114300"/>
                <wp:docPr id="2" name=""/>
                <a:graphic>
                  <a:graphicData uri="http://schemas.microsoft.com/office/word/2010/wordprocessingGroup">
                    <wpg:wgp>
                      <wpg:cNvGrpSpPr/>
                      <wpg:grpSpPr>
                        <a:xfrm>
                          <a:off x="2139475" y="1224850"/>
                          <a:ext cx="1657772" cy="509588"/>
                          <a:chOff x="2139475" y="1224850"/>
                          <a:chExt cx="2443425" cy="766200"/>
                        </a:xfrm>
                      </wpg:grpSpPr>
                      <wps:wsp>
                        <wps:cNvSpPr/>
                        <wps:cNvPr id="3" name="Shape 3"/>
                        <wps:spPr>
                          <a:xfrm>
                            <a:off x="2153775" y="1239150"/>
                            <a:ext cx="816275" cy="737600"/>
                          </a:xfrm>
                          <a:prstGeom prst="flowChartExtra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399600" y="1396475"/>
                            <a:ext cx="324600" cy="32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60"/>
                                  <w:vertAlign w:val="baseline"/>
                                </w:rPr>
                                <w:t xml:space="preserve">!</w:t>
                              </w:r>
                            </w:p>
                          </w:txbxContent>
                        </wps:txbx>
                        <wps:bodyPr anchorCtr="0" anchor="t" bIns="91425" lIns="91425" spcFirstLastPara="1" rIns="91425" wrap="square" tIns="91425">
                          <a:noAutofit/>
                        </wps:bodyPr>
                      </wps:wsp>
                      <wps:wsp>
                        <wps:cNvSpPr txBox="1"/>
                        <wps:cNvPr id="5" name="Shape 5"/>
                        <wps:spPr>
                          <a:xfrm>
                            <a:off x="3048700" y="1406450"/>
                            <a:ext cx="1534200" cy="5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1"/>
                                  <w:i w:val="0"/>
                                  <w:smallCaps w:val="0"/>
                                  <w:strike w:val="0"/>
                                  <w:color w:val="ff0000"/>
                                  <w:sz w:val="28"/>
                                  <w:vertAlign w:val="baseline"/>
                                </w:rPr>
                                <w:t xml:space="preserve">Fonction en développement</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238125</wp:posOffset>
                </wp:positionV>
                <wp:extent cx="1657772" cy="509588"/>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1657772" cy="509588"/>
                        </a:xfrm>
                        <a:prstGeom prst="rect"/>
                        <a:ln/>
                      </pic:spPr>
                    </pic:pic>
                  </a:graphicData>
                </a:graphic>
              </wp:anchor>
            </w:drawing>
          </mc:Fallback>
        </mc:AlternateContent>
      </w:r>
    </w:p>
    <w:p w:rsidR="00000000" w:rsidDel="00000000" w:rsidP="00000000" w:rsidRDefault="00000000" w:rsidRPr="00000000" w14:paraId="000000C5">
      <w:pPr>
        <w:pageBreakBefore w:val="0"/>
        <w:rPr/>
      </w:pPr>
      <w:r w:rsidDel="00000000" w:rsidR="00000000" w:rsidRPr="00000000">
        <w:rPr>
          <w:rtl w:val="0"/>
        </w:rPr>
        <w:t xml:space="preserve">Cette fonctionnalité permet, au travers de l’application d’algorithmes (deux à ce stade), de proposer aux gestionnaires de la plateforme des possibles correspondances d’unités d’organisation entre deux sources (source officielle du SNIS, programme spécifique, etc.). La validation peut se faire sur base d’un score de similarité qui est déterminé sur base de différents critères. </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t xml:space="preserve">Dans l’exemple ci-dessous (qui concerne tous les types d’unités d’organisation et non pas les SSC seuls en raison de l’absence de données à ce stade), le score de similarité choisi est de 100%. </w:t>
      </w:r>
    </w:p>
    <w:p w:rsidR="00000000" w:rsidDel="00000000" w:rsidP="00000000" w:rsidRDefault="00000000" w:rsidRPr="00000000" w14:paraId="000000C8">
      <w:pPr>
        <w:pageBreakBefore w:val="0"/>
        <w:rPr/>
      </w:pPr>
      <w:r w:rsidDel="00000000" w:rsidR="00000000" w:rsidRPr="00000000">
        <w:rPr>
          <w:rtl w:val="0"/>
        </w:rPr>
        <w:t xml:space="preserve">Dans le futur, il sera également possible de valider en un ensemble de correspondances qui répondent à certains critères mais actuellement la validation doit se faire individuellement pour chaque org unit. </w:t>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jc w:val="center"/>
        <w:rPr/>
      </w:pPr>
      <w:r w:rsidDel="00000000" w:rsidR="00000000" w:rsidRPr="00000000">
        <w:rPr/>
        <w:drawing>
          <wp:inline distB="114300" distT="114300" distL="114300" distR="114300">
            <wp:extent cx="5519738" cy="2503987"/>
            <wp:effectExtent b="0" l="0" r="0" t="0"/>
            <wp:docPr id="8" name="image14.png"/>
            <a:graphic>
              <a:graphicData uri="http://schemas.openxmlformats.org/drawingml/2006/picture">
                <pic:pic>
                  <pic:nvPicPr>
                    <pic:cNvPr id="0" name="image14.png"/>
                    <pic:cNvPicPr preferRelativeResize="0"/>
                  </pic:nvPicPr>
                  <pic:blipFill>
                    <a:blip r:embed="rId24"/>
                    <a:srcRect b="14322" l="2403" r="2724" t="16879"/>
                    <a:stretch>
                      <a:fillRect/>
                    </a:stretch>
                  </pic:blipFill>
                  <pic:spPr>
                    <a:xfrm>
                      <a:off x="0" y="0"/>
                      <a:ext cx="5519738" cy="250398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jc w:val="left"/>
        <w:rPr/>
      </w:pPr>
      <w:r w:rsidDel="00000000" w:rsidR="00000000" w:rsidRPr="00000000">
        <w:rPr>
          <w:rtl w:val="0"/>
        </w:rPr>
      </w:r>
    </w:p>
    <w:sectPr>
      <w:headerReference r:id="rId25" w:type="default"/>
      <w:footerReference r:id="rId26" w:type="default"/>
      <w:pgSz w:h="15840" w:w="12240" w:orient="portrait"/>
      <w:pgMar w:bottom="1440" w:top="1440" w:left="1440" w:right="1440" w:header="302.4"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rl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widowControl w:val="0"/>
      <w:spacing w:after="200" w:lineRule="auto"/>
      <w:jc w:val="right"/>
      <w:rPr>
        <w:rFonts w:ascii="Barlow" w:cs="Barlow" w:eastAsia="Barlow" w:hAnsi="Barlow"/>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081213" cy="605293"/>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1"/>
                  <a:srcRect b="-34593" l="0" r="-40234" t="-11406"/>
                  <a:stretch>
                    <a:fillRect/>
                  </a:stretch>
                </pic:blipFill>
                <pic:spPr>
                  <a:xfrm>
                    <a:off x="0" y="0"/>
                    <a:ext cx="2081213" cy="605293"/>
                  </a:xfrm>
                  <a:prstGeom prst="rect"/>
                  <a:ln/>
                </pic:spPr>
              </pic:pic>
            </a:graphicData>
          </a:graphic>
        </wp:anchor>
      </w:drawing>
    </w:r>
  </w:p>
  <w:p w:rsidR="00000000" w:rsidDel="00000000" w:rsidP="00000000" w:rsidRDefault="00000000" w:rsidRPr="00000000" w14:paraId="000000CD">
    <w:pPr>
      <w:pageBreakBefore w:val="0"/>
      <w:widowControl w:val="0"/>
      <w:spacing w:after="200" w:lineRule="auto"/>
      <w:jc w:val="right"/>
      <w:rPr>
        <w:rFonts w:ascii="Barlow" w:cs="Barlow" w:eastAsia="Barlow" w:hAnsi="Barlow"/>
        <w:sz w:val="20"/>
        <w:szCs w:val="20"/>
      </w:rPr>
    </w:pPr>
    <w:r w:rsidDel="00000000" w:rsidR="00000000" w:rsidRPr="00000000">
      <w:rPr>
        <w:rFonts w:ascii="Barlow" w:cs="Barlow" w:eastAsia="Barlow" w:hAnsi="Barlow"/>
        <w:sz w:val="20"/>
        <w:szCs w:val="20"/>
        <w:rtl w:val="0"/>
      </w:rPr>
      <w:t xml:space="preserve">Hive5, Cours Saint-Michel 30b, 1040 Brussels, Belgium</w:t>
      <w:br w:type="textWrapping"/>
    </w:r>
    <w:r w:rsidDel="00000000" w:rsidR="00000000" w:rsidRPr="00000000">
      <w:rPr>
        <w:rFonts w:ascii="Barlow" w:cs="Barlow" w:eastAsia="Barlow" w:hAnsi="Barlow"/>
        <w:color w:val="157dc2"/>
        <w:sz w:val="20"/>
        <w:szCs w:val="20"/>
        <w:rtl w:val="0"/>
      </w:rPr>
      <w:t xml:space="preserve"> </w:t>
    </w:r>
    <w:hyperlink r:id="rId2">
      <w:r w:rsidDel="00000000" w:rsidR="00000000" w:rsidRPr="00000000">
        <w:rPr>
          <w:rFonts w:ascii="Barlow" w:cs="Barlow" w:eastAsia="Barlow" w:hAnsi="Barlow"/>
          <w:color w:val="157dc2"/>
          <w:sz w:val="20"/>
          <w:szCs w:val="20"/>
          <w:u w:val="single"/>
          <w:rtl w:val="0"/>
        </w:rPr>
        <w:t xml:space="preserve">info@bluesquarehub.com</w:t>
      </w:r>
    </w:hyperlink>
    <w:r w:rsidDel="00000000" w:rsidR="00000000" w:rsidRPr="00000000">
      <w:rPr>
        <w:rFonts w:ascii="Barlow" w:cs="Barlow" w:eastAsia="Barlow" w:hAnsi="Barlow"/>
        <w:sz w:val="20"/>
        <w:szCs w:val="20"/>
        <w:rtl w:val="0"/>
      </w:rPr>
      <w:t xml:space="preserve"> — </w:t>
    </w:r>
    <w:r w:rsidDel="00000000" w:rsidR="00000000" w:rsidRPr="00000000">
      <w:rPr>
        <w:rFonts w:ascii="Barlow" w:cs="Barlow" w:eastAsia="Barlow" w:hAnsi="Barlow"/>
        <w:color w:val="157dc2"/>
        <w:sz w:val="20"/>
        <w:szCs w:val="20"/>
        <w:u w:val="single"/>
        <w:rtl w:val="0"/>
      </w:rPr>
      <w:t xml:space="preserve">www.bluesquarehub.com</w:t>
    </w:r>
    <w:r w:rsidDel="00000000" w:rsidR="00000000" w:rsidRPr="00000000">
      <w:rPr>
        <w:rFonts w:ascii="Barlow" w:cs="Barlow" w:eastAsia="Barlow" w:hAnsi="Barlow"/>
        <w:sz w:val="20"/>
        <w:szCs w:val="20"/>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ageBreakBefore w:val="0"/>
      <w:jc w:val="right"/>
      <w:rPr/>
    </w:pPr>
    <w:r w:rsidDel="00000000" w:rsidR="00000000" w:rsidRPr="00000000">
      <w:rPr>
        <w:rtl w:val="0"/>
      </w:rPr>
    </w:r>
  </w:p>
  <w:p w:rsidR="00000000" w:rsidDel="00000000" w:rsidP="00000000" w:rsidRDefault="00000000" w:rsidRPr="00000000" w14:paraId="000000CF">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rlow" w:cs="Barlow" w:eastAsia="Barlow" w:hAnsi="Barlow"/>
        <w:sz w:val="24"/>
        <w:szCs w:val="24"/>
        <w:lang w:val="fr"/>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ind w:left="0" w:firstLine="0"/>
    </w:pPr>
    <w:rPr>
      <w:b w:val="1"/>
      <w:sz w:val="40"/>
      <w:szCs w:val="40"/>
    </w:rPr>
  </w:style>
  <w:style w:type="paragraph" w:styleId="Heading2">
    <w:name w:val="heading 2"/>
    <w:basedOn w:val="Normal"/>
    <w:next w:val="Normal"/>
    <w:pPr>
      <w:keepNext w:val="1"/>
      <w:keepLines w:val="1"/>
      <w:pageBreakBefore w:val="0"/>
      <w:spacing w:after="120" w:before="360" w:lineRule="auto"/>
      <w:ind w:left="0" w:firstLine="0"/>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2.png"/><Relationship Id="rId21"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iaso-playground.bluesquare.org/dashboard/" TargetMode="External"/><Relationship Id="rId8"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3.png"/><Relationship Id="rId15" Type="http://schemas.openxmlformats.org/officeDocument/2006/relationships/hyperlink" Target="https://dhis2.cartesanitairerdc.org/" TargetMode="External"/><Relationship Id="rId14" Type="http://schemas.openxmlformats.org/officeDocument/2006/relationships/image" Target="media/image5.png"/><Relationship Id="rId17" Type="http://schemas.openxmlformats.org/officeDocument/2006/relationships/hyperlink" Target="http://www.fbp-rdc.org/data" TargetMode="External"/><Relationship Id="rId16" Type="http://schemas.openxmlformats.org/officeDocument/2006/relationships/hyperlink" Target="https://www.nature.com/articles/s41597-019-0142-2" TargetMode="External"/><Relationship Id="rId19" Type="http://schemas.openxmlformats.org/officeDocument/2006/relationships/image" Target="media/image4.png"/><Relationship Id="rId18" Type="http://schemas.openxmlformats.org/officeDocument/2006/relationships/hyperlink" Target="https://linkprotect.cudasvc.com/url?a=http%3a%2f%2fcartesanitairedrc.org&amp;c=E,1,-psDWdIpNj3z5pJoua4Cj5aNbsjC6-1u5gpHAQiNciJ7Bbz26a2iLqJbb9YXE4EfaoXusR7MYqIG8oQ2_kzWDg7kAWBwvPW9m4ReQlJk77fLGg2s0-_UER4,&amp;typo=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arlow-regular.ttf"/><Relationship Id="rId6" Type="http://schemas.openxmlformats.org/officeDocument/2006/relationships/font" Target="fonts/Barlow-bold.ttf"/><Relationship Id="rId7" Type="http://schemas.openxmlformats.org/officeDocument/2006/relationships/font" Target="fonts/Barlow-italic.ttf"/><Relationship Id="rId8" Type="http://schemas.openxmlformats.org/officeDocument/2006/relationships/font" Target="fonts/Barlow-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 Id="rId2" Type="http://schemas.openxmlformats.org/officeDocument/2006/relationships/hyperlink" Target="mailto:info@bluesquare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